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6E6F7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根据江苏省生态环境厅于202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年3月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日发布的</w:t>
      </w:r>
      <w:r>
        <w:rPr>
          <w:rFonts w:hint="default" w:ascii="Times New Roman" w:hAnsi="Times New Roman" w:eastAsia="宋体" w:cs="Times New Roman"/>
          <w:color w:val="auto"/>
          <w:sz w:val="24"/>
        </w:rPr>
        <w:t>《江苏省生态环境厅关于公布202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</w:rPr>
        <w:t>年第一批强制性清洁生产审核重点企业名单的通知》，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约克（无锡）空调冷冻设备有限公司鸿山分公司在《江苏省202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年第一批强制性清洁生产审核重点企业名单》内</w:t>
      </w:r>
      <w:r>
        <w:rPr>
          <w:rFonts w:hint="default" w:ascii="Times New Roman" w:hAnsi="Times New Roman" w:eastAsia="宋体" w:cs="Times New Roman"/>
          <w:color w:val="auto"/>
          <w:sz w:val="24"/>
        </w:rPr>
        <w:t>，公司按照《清洁生产审核办法》相关规定，公布企业相关信息，并开始部署清洁生产筹备工作。</w:t>
      </w:r>
    </w:p>
    <w:p w14:paraId="25CEE84C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根据《清洁生产审核办法》，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约克（无锡）空调冷冻设备有限公司鸿山分公司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属于第八条第（三）款规定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“</w:t>
      </w:r>
      <w:r>
        <w:rPr>
          <w:rFonts w:hint="default" w:ascii="Times New Roman" w:hAnsi="Times New Roman" w:eastAsia="宋体" w:cs="Times New Roman"/>
          <w:color w:val="auto"/>
          <w:sz w:val="24"/>
        </w:rPr>
        <w:t>使用有毒有害原料进行生产或者在生产中排放有毒有害物质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”</w:t>
      </w:r>
      <w:r>
        <w:rPr>
          <w:rFonts w:hint="default" w:ascii="Times New Roman" w:hAnsi="Times New Roman" w:eastAsia="宋体" w:cs="Times New Roman"/>
          <w:color w:val="auto"/>
          <w:sz w:val="24"/>
        </w:rPr>
        <w:t>的企业，现公示信息如下：</w:t>
      </w:r>
    </w:p>
    <w:p w14:paraId="20D92A91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（1）企业名称：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约克（无锡）空调冷冻设备有限公司鸿山分公司</w:t>
      </w:r>
    </w:p>
    <w:p w14:paraId="64B18E1B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（2）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负责人</w:t>
      </w:r>
      <w:r>
        <w:rPr>
          <w:rFonts w:hint="default" w:ascii="Times New Roman" w:hAnsi="Times New Roman" w:eastAsia="宋体" w:cs="Times New Roman"/>
          <w:color w:val="auto"/>
          <w:sz w:val="24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华晓峰</w:t>
      </w:r>
    </w:p>
    <w:p w14:paraId="54754DD3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（3）企业所在地址：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无锡国家高新技术产业开发区D22地块（里河路8号）</w:t>
      </w:r>
    </w:p>
    <w:p w14:paraId="42967BA1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（4）使用有毒有害原料的名称、数量、用途：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327"/>
        <w:gridCol w:w="1705"/>
        <w:gridCol w:w="1705"/>
        <w:gridCol w:w="1705"/>
      </w:tblGrid>
      <w:tr w14:paraId="3EEFF6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2" w:type="pct"/>
            <w:vAlign w:val="center"/>
          </w:tcPr>
          <w:p w14:paraId="0AEF419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序号</w:t>
            </w:r>
          </w:p>
        </w:tc>
        <w:tc>
          <w:tcPr>
            <w:tcW w:w="1365" w:type="pct"/>
            <w:vAlign w:val="center"/>
          </w:tcPr>
          <w:p w14:paraId="1C03036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名称</w:t>
            </w:r>
          </w:p>
        </w:tc>
        <w:tc>
          <w:tcPr>
            <w:tcW w:w="1000" w:type="pct"/>
            <w:vAlign w:val="center"/>
          </w:tcPr>
          <w:p w14:paraId="193FA0A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年消耗量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  <w:t>吨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2891CD7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形态</w:t>
            </w:r>
          </w:p>
        </w:tc>
        <w:tc>
          <w:tcPr>
            <w:tcW w:w="1000" w:type="pct"/>
            <w:vAlign w:val="center"/>
          </w:tcPr>
          <w:p w14:paraId="32EFE9B5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  <w:t>备注</w:t>
            </w:r>
          </w:p>
        </w:tc>
      </w:tr>
      <w:tr w14:paraId="669568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322EFCF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1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11A0121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油漆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A5BEEF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188.47</w:t>
            </w:r>
          </w:p>
        </w:tc>
        <w:tc>
          <w:tcPr>
            <w:tcW w:w="1000" w:type="pct"/>
            <w:vAlign w:val="center"/>
          </w:tcPr>
          <w:p w14:paraId="2A31EE3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restart"/>
            <w:vAlign w:val="center"/>
          </w:tcPr>
          <w:p w14:paraId="68DAF280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喷漆</w:t>
            </w:r>
          </w:p>
        </w:tc>
      </w:tr>
      <w:tr w14:paraId="122CEE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C355A4F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2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0D48D6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固化剂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BDD063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00" w:type="pct"/>
            <w:vAlign w:val="center"/>
          </w:tcPr>
          <w:p w14:paraId="46EF239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continue"/>
            <w:tcBorders/>
            <w:vAlign w:val="center"/>
          </w:tcPr>
          <w:p w14:paraId="2E10393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7F81D5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2CEBF2E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3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21BAF0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稀释剂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C6963C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41.69</w:t>
            </w:r>
          </w:p>
        </w:tc>
        <w:tc>
          <w:tcPr>
            <w:tcW w:w="1000" w:type="pct"/>
            <w:vAlign w:val="center"/>
          </w:tcPr>
          <w:p w14:paraId="76004FF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continue"/>
            <w:tcBorders/>
            <w:vAlign w:val="center"/>
          </w:tcPr>
          <w:p w14:paraId="04D3EF6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50A05A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6E6C46C8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4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76839D6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切削液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4942F5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00" w:type="pct"/>
            <w:vAlign w:val="center"/>
          </w:tcPr>
          <w:p w14:paraId="7D36F2B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restart"/>
            <w:vAlign w:val="center"/>
          </w:tcPr>
          <w:p w14:paraId="0FAD56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机械加工、清洗</w:t>
            </w:r>
          </w:p>
        </w:tc>
      </w:tr>
      <w:tr w14:paraId="189DAA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5FEA341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5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34C753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机械油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FF8BE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00" w:type="pct"/>
            <w:vAlign w:val="center"/>
          </w:tcPr>
          <w:p w14:paraId="6EC2763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continue"/>
            <w:tcBorders/>
            <w:vAlign w:val="center"/>
          </w:tcPr>
          <w:p w14:paraId="3CDCA5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1AADC7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01BAA08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6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24235D4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YORK油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CCCED9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000" w:type="pct"/>
            <w:vAlign w:val="center"/>
          </w:tcPr>
          <w:p w14:paraId="29F3E42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continue"/>
            <w:tcBorders/>
            <w:vAlign w:val="center"/>
          </w:tcPr>
          <w:p w14:paraId="7500543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  <w:tr w14:paraId="71C38C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2" w:type="pct"/>
            <w:shd w:val="clear" w:color="auto" w:fill="auto"/>
            <w:vAlign w:val="center"/>
          </w:tcPr>
          <w:p w14:paraId="43ACF76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7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3C9655F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清洗液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BA0A2D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000" w:type="pct"/>
            <w:vAlign w:val="center"/>
          </w:tcPr>
          <w:p w14:paraId="3F4D774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液</w:t>
            </w:r>
          </w:p>
        </w:tc>
        <w:tc>
          <w:tcPr>
            <w:tcW w:w="1000" w:type="pct"/>
            <w:vMerge w:val="continue"/>
            <w:tcBorders/>
            <w:vAlign w:val="center"/>
          </w:tcPr>
          <w:p w14:paraId="2AB8BBE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</w:tr>
    </w:tbl>
    <w:p w14:paraId="705A52E7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（5）排放有毒有害物质的名称、浓度和数量：</w:t>
      </w:r>
    </w:p>
    <w:p w14:paraId="71F1E061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约克（无锡）空调冷冻设备有限公司鸿山分公司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排放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4"/>
        </w:rPr>
        <w:t>有组织）</w:t>
      </w:r>
      <w:r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  <w:t>颗粒物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4.974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二甲苯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3.587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甲苯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0.639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乙苯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2.114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丁醇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1.108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醋酸丁酯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0.621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VOCs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8.609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二氧化硫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0.201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氮氧化物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0.954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烟尘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0.154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default" w:ascii="Times New Roman" w:hAnsi="Times New Roman" w:eastAsia="宋体" w:cs="Times New Roman"/>
          <w:color w:val="auto"/>
          <w:sz w:val="24"/>
        </w:rPr>
        <w:t xml:space="preserve">。 </w:t>
      </w:r>
    </w:p>
    <w:p w14:paraId="6DB1E436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水污染物（接管考核量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</w:rPr>
        <w:t>：废水排放量≤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16405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吨、COD≤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4.26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吨、SS≤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4.019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吨、氨氮≤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0.172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吨、总氮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0.196</w:t>
      </w:r>
      <w:r>
        <w:rPr>
          <w:rFonts w:hint="default" w:ascii="Times New Roman" w:hAnsi="Times New Roman" w:eastAsia="宋体" w:cs="Times New Roman"/>
          <w:color w:val="auto"/>
          <w:sz w:val="24"/>
        </w:rPr>
        <w:t>吨、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磷酸盐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0.02</w:t>
      </w:r>
      <w:r>
        <w:rPr>
          <w:rFonts w:hint="default" w:ascii="Times New Roman" w:hAnsi="Times New Roman" w:eastAsia="宋体" w:cs="Times New Roman"/>
          <w:color w:val="auto"/>
          <w:sz w:val="24"/>
        </w:rPr>
        <w:t>吨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石油类</w:t>
      </w:r>
      <w:r>
        <w:rPr>
          <w:rFonts w:hint="default" w:ascii="Times New Roman" w:hAnsi="Times New Roman" w:eastAsia="宋体" w:cs="Times New Roman"/>
          <w:color w:val="auto"/>
          <w:sz w:val="24"/>
        </w:rPr>
        <w:t>≤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0.23吨</w:t>
      </w:r>
      <w:r>
        <w:rPr>
          <w:rFonts w:hint="default" w:ascii="Times New Roman" w:hAnsi="Times New Roman" w:eastAsia="宋体" w:cs="Times New Roman"/>
          <w:color w:val="auto"/>
          <w:sz w:val="24"/>
        </w:rPr>
        <w:t>。</w:t>
      </w:r>
    </w:p>
    <w:p w14:paraId="1BFC92B3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（6）危险废物的产生和处置情况：</w:t>
      </w:r>
    </w:p>
    <w:tbl>
      <w:tblPr>
        <w:tblStyle w:val="4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647"/>
        <w:gridCol w:w="1092"/>
        <w:gridCol w:w="1415"/>
        <w:gridCol w:w="2492"/>
      </w:tblGrid>
      <w:tr w14:paraId="6FD9D8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CC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固体废物</w:t>
            </w:r>
          </w:p>
        </w:tc>
        <w:tc>
          <w:tcPr>
            <w:tcW w:w="104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A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固废编号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016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产生量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t/a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4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9D0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Cs w:val="21"/>
              </w:rPr>
              <w:t>处置利用方式</w:t>
            </w:r>
          </w:p>
        </w:tc>
      </w:tr>
      <w:tr w14:paraId="6E53AD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FEF5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清洗废液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AC2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HW06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4B5F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900-404-06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AE1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23.8</w:t>
            </w:r>
          </w:p>
        </w:tc>
        <w:tc>
          <w:tcPr>
            <w:tcW w:w="149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847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委托有资质单位处理处置</w:t>
            </w:r>
          </w:p>
        </w:tc>
      </w:tr>
      <w:tr w14:paraId="5EAD6A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04EB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废切削液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E30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HW09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F13A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900-006-09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CF98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4E0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DC8C4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6376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漆渣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07D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HW12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209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900-252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-12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AEA6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19.474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D34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E6C2C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92BD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废油漆桶等化学品废包装桶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FA14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0648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0FE3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43.96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A45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67B81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37E9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废活性炭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8AA6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0AF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900-039-49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F6A9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48.6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79D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A6E728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261A9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废活性炭过滤棉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001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81F6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0747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7.2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0A4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0E1AA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7F5A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废过滤棉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D5E3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1202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F58C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56.6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4A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B967A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797F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废包装桶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8518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48AD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709B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600个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2FA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0565B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200E0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含化学品抹布手套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1E9C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8E9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7CB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110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3B4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21719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7D4A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喷漆清洗废液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815C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HW12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3F62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900-299-12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3225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5.5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D49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8753D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6383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废劳保用品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A7AC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HW49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89DD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900-041-49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7E52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EA21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BF095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622" w:type="pct"/>
            <w:tcBorders>
              <w:right w:val="single" w:color="auto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7B8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废矿物油</w:t>
            </w:r>
          </w:p>
        </w:tc>
        <w:tc>
          <w:tcPr>
            <w:tcW w:w="38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E50D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HW08</w:t>
            </w:r>
          </w:p>
        </w:tc>
        <w:tc>
          <w:tcPr>
            <w:tcW w:w="6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EA9C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900-249-08</w:t>
            </w:r>
          </w:p>
        </w:tc>
        <w:tc>
          <w:tcPr>
            <w:tcW w:w="84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5B0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490" w:type="pct"/>
            <w:vMerge w:val="continue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6A7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5B58F140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</w:rPr>
        <w:t>（7）依法落实环境风险防控措施情况：</w:t>
      </w:r>
    </w:p>
    <w:p w14:paraId="026BD4AE">
      <w:pPr>
        <w:spacing w:line="50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约克（无锡）空调冷冻设备有限公司鸿山分公司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加强生产和环境管理，制定和落实环境风险应急预案及事故防范措施。防止各类事故发生，加强原材料、环保设施尤其是有毒有害原料、废气排放物和危险废物的管理，杜绝事故排放的环境影响。</w:t>
      </w:r>
      <w:r>
        <w:rPr>
          <w:rFonts w:hint="default" w:ascii="Times New Roman" w:hAnsi="Times New Roman" w:eastAsia="宋体" w:cs="Times New Roman"/>
          <w:color w:val="auto"/>
          <w:sz w:val="24"/>
          <w:lang w:eastAsia="zh-CN"/>
        </w:rPr>
        <w:t>约克（无锡）空调冷冻设备有限公司鸿山分公司</w:t>
      </w:r>
      <w:r>
        <w:rPr>
          <w:rFonts w:hint="default" w:ascii="Times New Roman" w:hAnsi="Times New Roman" w:eastAsia="宋体" w:cs="Times New Roman"/>
          <w:color w:val="auto"/>
          <w:sz w:val="24"/>
        </w:rPr>
        <w:t>已编制了企业环境风险预案并进行了备案。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2D696B"/>
    <w:multiLevelType w:val="singleLevel"/>
    <w:tmpl w:val="3F2D696B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GFhMDIxYzEzMDdiYWE2MGUwOWVmZmNlZmMwMzYifQ=="/>
  </w:docVars>
  <w:rsids>
    <w:rsidRoot w:val="005B385E"/>
    <w:rsid w:val="000A0DB5"/>
    <w:rsid w:val="00125C2B"/>
    <w:rsid w:val="0018138F"/>
    <w:rsid w:val="00200209"/>
    <w:rsid w:val="003C1D91"/>
    <w:rsid w:val="005B385E"/>
    <w:rsid w:val="005C5A4E"/>
    <w:rsid w:val="00634DB1"/>
    <w:rsid w:val="00880E84"/>
    <w:rsid w:val="008F55AE"/>
    <w:rsid w:val="00B134FF"/>
    <w:rsid w:val="00CF61C0"/>
    <w:rsid w:val="06F67604"/>
    <w:rsid w:val="07171AD1"/>
    <w:rsid w:val="07246F8D"/>
    <w:rsid w:val="081450A2"/>
    <w:rsid w:val="0A7F6940"/>
    <w:rsid w:val="0B511F3E"/>
    <w:rsid w:val="11990174"/>
    <w:rsid w:val="14CD636D"/>
    <w:rsid w:val="18044AE9"/>
    <w:rsid w:val="1D3E68F7"/>
    <w:rsid w:val="1E933732"/>
    <w:rsid w:val="1ECB3353"/>
    <w:rsid w:val="26FB3F19"/>
    <w:rsid w:val="27D05112"/>
    <w:rsid w:val="27FC6B64"/>
    <w:rsid w:val="2AF67119"/>
    <w:rsid w:val="2D197980"/>
    <w:rsid w:val="2E801E78"/>
    <w:rsid w:val="305E5857"/>
    <w:rsid w:val="342804A8"/>
    <w:rsid w:val="354A601D"/>
    <w:rsid w:val="38141C2A"/>
    <w:rsid w:val="39737051"/>
    <w:rsid w:val="41834C25"/>
    <w:rsid w:val="42CC439A"/>
    <w:rsid w:val="4B703464"/>
    <w:rsid w:val="4E78429A"/>
    <w:rsid w:val="4E942F6E"/>
    <w:rsid w:val="4F000A4C"/>
    <w:rsid w:val="50FE5B35"/>
    <w:rsid w:val="584B027B"/>
    <w:rsid w:val="5C1C479A"/>
    <w:rsid w:val="5FA41DAE"/>
    <w:rsid w:val="65A21E2E"/>
    <w:rsid w:val="71782D98"/>
    <w:rsid w:val="7C9E6B26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List Bullet 5"/>
    <w:basedOn w:val="1"/>
    <w:uiPriority w:val="0"/>
    <w:pPr>
      <w:numPr>
        <w:ilvl w:val="0"/>
        <w:numId w:val="1"/>
      </w:numPr>
    </w:pPr>
  </w:style>
  <w:style w:type="character" w:styleId="6">
    <w:name w:val="annotation reference"/>
    <w:unhideWhenUsed/>
    <w:qFormat/>
    <w:uiPriority w:val="99"/>
    <w:rPr>
      <w:sz w:val="21"/>
      <w:szCs w:val="21"/>
    </w:rPr>
  </w:style>
  <w:style w:type="paragraph" w:customStyle="1" w:styleId="7">
    <w:name w:val="xl2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/>
      <w:kern w:val="0"/>
    </w:rPr>
  </w:style>
  <w:style w:type="paragraph" w:customStyle="1" w:styleId="8">
    <w:name w:val="表格 普通文字"/>
    <w:qFormat/>
    <w:uiPriority w:val="0"/>
    <w:pPr>
      <w:jc w:val="center"/>
    </w:pPr>
    <w:rPr>
      <w:rFonts w:ascii="Times New Roman" w:hAnsi="Times New Roman" w:eastAsia="FangSong_GB2312" w:cs="Times New Roman"/>
      <w:kern w:val="2"/>
      <w:sz w:val="21"/>
      <w:szCs w:val="21"/>
      <w:lang w:val="en-US" w:eastAsia="zh-CN" w:bidi="ar-SA"/>
    </w:rPr>
  </w:style>
  <w:style w:type="character" w:customStyle="1" w:styleId="9">
    <w:name w:val="要点1"/>
    <w:uiPriority w:val="0"/>
    <w:rPr>
      <w:rFonts w:eastAsia="FangSong_GB2312"/>
      <w:bCs/>
      <w:sz w:val="24"/>
    </w:rPr>
  </w:style>
  <w:style w:type="paragraph" w:customStyle="1" w:styleId="10">
    <w:name w:val="表格普通"/>
    <w:basedOn w:val="1"/>
    <w:qFormat/>
    <w:uiPriority w:val="0"/>
    <w:pPr>
      <w:jc w:val="center"/>
    </w:pPr>
    <w:rPr>
      <w:rFonts w:eastAsia="FangSong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979</Characters>
  <Lines>9</Lines>
  <Paragraphs>2</Paragraphs>
  <TotalTime>0</TotalTime>
  <ScaleCrop>false</ScaleCrop>
  <LinksUpToDate>false</LinksUpToDate>
  <CharactersWithSpaces>986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2024-01-29T00:37:00Z</dcterms:created>
  <dc:creator>Administrator</dc:creator>
  <cp:lastModifiedBy>Qbh</cp:lastModifiedBy>
  <dcterms:modified xsi:type="dcterms:W3CDTF">2026-04-28T05:32:06Z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5DFEBDEEE9084A329B4D92A58868683B_12</vt:lpwstr>
  </property>
  <property fmtid="{D5CDD505-2E9C-101B-9397-08002B2CF9AE}" pid="4" name="KSOTemplateDocerSaveRecord">
    <vt:lpwstr>eyJoZGlkIjoiNGNjMGFhMDIxYzEzMDdiYWE2MGUwOWVmZmNlZmMwMzYiLCJ1c2VySWQiOiI5NDY2NTcwOTAifQ==</vt:lpwstr>
  </property>
</Properties>
</file>